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spacing w:before="0" w:after="0" w:line="240" w:lineRule="atLeast"/>
        <w:jc w:val="center"/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Style w:val="cat-Addressgrp-0rplc-0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Style w:val="cat-Dategrp-4rplc-1"/>
          <w:rFonts w:ascii="Times New Roman" w:eastAsia="Times New Roman" w:hAnsi="Times New Roman" w:cs="Times New Roman"/>
          <w:sz w:val="25"/>
          <w:szCs w:val="25"/>
        </w:rPr>
        <w:t>дата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№3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автон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омного округа-Югры </w:t>
      </w:r>
      <w:r>
        <w:rPr>
          <w:rStyle w:val="cat-FIOgrp-17rplc-3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рассмотрев в открытом судебном заседании в помещении судебного участка №3 Ханты-Мансийского судебного района дело об админи</w:t>
      </w:r>
      <w:r>
        <w:rPr>
          <w:rFonts w:ascii="Times New Roman" w:eastAsia="Times New Roman" w:hAnsi="Times New Roman" w:cs="Times New Roman"/>
          <w:sz w:val="25"/>
          <w:szCs w:val="25"/>
        </w:rPr>
        <w:t>стративном правонарушении №5-</w:t>
      </w:r>
      <w:r>
        <w:rPr>
          <w:rFonts w:ascii="Times New Roman" w:eastAsia="Times New Roman" w:hAnsi="Times New Roman" w:cs="Times New Roman"/>
          <w:sz w:val="25"/>
          <w:szCs w:val="25"/>
        </w:rPr>
        <w:t>468-2806</w:t>
      </w:r>
      <w:r>
        <w:rPr>
          <w:rFonts w:ascii="Times New Roman" w:eastAsia="Times New Roman" w:hAnsi="Times New Roman" w:cs="Times New Roman"/>
          <w:sz w:val="25"/>
          <w:szCs w:val="25"/>
        </w:rPr>
        <w:t>/202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>, возбужденное по ст.19.7 КоАП 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Ф в отношении </w:t>
      </w:r>
      <w:r>
        <w:rPr>
          <w:rStyle w:val="cat-OrganizationNamegrp-20rplc-4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ИНН </w:t>
      </w:r>
      <w:r>
        <w:rPr>
          <w:rStyle w:val="cat-PhoneNumbergrp-22rplc-5"/>
          <w:rFonts w:ascii="Times New Roman" w:eastAsia="Times New Roman" w:hAnsi="Times New Roman" w:cs="Times New Roman"/>
          <w:sz w:val="25"/>
          <w:szCs w:val="25"/>
        </w:rPr>
        <w:t>телефон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ОГРН: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238600006590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юридический адрес: </w:t>
      </w:r>
      <w:r>
        <w:rPr>
          <w:rStyle w:val="cat-Addressgrp-2rplc-6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помещ.1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лицо, имеющее право без доверенности действовать от имени юридического лица 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директор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FIOgrp-18rplc-7"/>
          <w:rFonts w:ascii="Times New Roman" w:eastAsia="Times New Roman" w:hAnsi="Times New Roman" w:cs="Times New Roman"/>
          <w:sz w:val="25"/>
          <w:szCs w:val="25"/>
        </w:rPr>
        <w:t>фио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сведений о привлечении к административной ответственности не представлено,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у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юридическое лицо </w:t>
      </w:r>
      <w:r>
        <w:rPr>
          <w:rStyle w:val="cat-OrganizationNamegrp-20rplc-8"/>
          <w:b w:val="0"/>
          <w:bCs w:val="0"/>
          <w:i w:val="0"/>
          <w:sz w:val="25"/>
          <w:szCs w:val="25"/>
        </w:rPr>
        <w:t>наименование организации</w:t>
      </w:r>
      <w:r>
        <w:rPr>
          <w:b w:val="0"/>
          <w:bCs w:val="0"/>
          <w:i w:val="0"/>
          <w:sz w:val="25"/>
          <w:szCs w:val="25"/>
        </w:rPr>
        <w:t xml:space="preserve">, </w:t>
      </w:r>
      <w:r>
        <w:rPr>
          <w:b w:val="0"/>
          <w:bCs w:val="0"/>
          <w:i w:val="0"/>
          <w:sz w:val="25"/>
          <w:szCs w:val="25"/>
        </w:rPr>
        <w:t xml:space="preserve">находясь по месту </w:t>
      </w:r>
      <w:r>
        <w:rPr>
          <w:b w:val="0"/>
          <w:bCs w:val="0"/>
          <w:i w:val="0"/>
          <w:sz w:val="25"/>
          <w:szCs w:val="25"/>
        </w:rPr>
        <w:t xml:space="preserve">регистрации </w:t>
      </w:r>
      <w:r>
        <w:rPr>
          <w:b w:val="0"/>
          <w:bCs w:val="0"/>
          <w:i w:val="0"/>
          <w:sz w:val="25"/>
          <w:szCs w:val="25"/>
        </w:rPr>
        <w:t xml:space="preserve">по адресу: </w:t>
      </w:r>
      <w:r>
        <w:rPr>
          <w:rStyle w:val="cat-Addressgrp-3rplc-9"/>
          <w:b w:val="0"/>
          <w:bCs w:val="0"/>
          <w:i w:val="0"/>
          <w:sz w:val="25"/>
          <w:szCs w:val="25"/>
        </w:rPr>
        <w:t>адрес</w:t>
      </w:r>
      <w:r>
        <w:rPr>
          <w:b w:val="0"/>
          <w:bCs w:val="0"/>
          <w:i w:val="0"/>
          <w:sz w:val="25"/>
          <w:szCs w:val="25"/>
        </w:rPr>
        <w:t xml:space="preserve"> тракт д.2 помещ.1</w:t>
      </w:r>
      <w:r>
        <w:rPr>
          <w:b w:val="0"/>
          <w:bCs w:val="0"/>
          <w:i w:val="0"/>
          <w:sz w:val="25"/>
          <w:szCs w:val="25"/>
        </w:rPr>
        <w:t xml:space="preserve">, в срок до 24 </w:t>
      </w:r>
      <w:r>
        <w:rPr>
          <w:rStyle w:val="cat-Timegrp-21rplc-10"/>
          <w:b w:val="0"/>
          <w:bCs w:val="0"/>
          <w:i w:val="0"/>
          <w:sz w:val="25"/>
          <w:szCs w:val="25"/>
        </w:rPr>
        <w:t>время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rStyle w:val="cat-Dategrp-6rplc-11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 в нарушение </w:t>
      </w:r>
      <w:r>
        <w:rPr>
          <w:b w:val="0"/>
          <w:bCs w:val="0"/>
          <w:i w:val="0"/>
          <w:sz w:val="25"/>
          <w:szCs w:val="25"/>
        </w:rPr>
        <w:t>п.п</w:t>
      </w:r>
      <w:r>
        <w:rPr>
          <w:b w:val="0"/>
          <w:bCs w:val="0"/>
          <w:i w:val="0"/>
          <w:sz w:val="25"/>
          <w:szCs w:val="25"/>
        </w:rPr>
        <w:t>.</w:t>
      </w:r>
      <w:r>
        <w:rPr>
          <w:b w:val="0"/>
          <w:bCs w:val="0"/>
          <w:i w:val="0"/>
          <w:sz w:val="25"/>
          <w:szCs w:val="25"/>
        </w:rPr>
        <w:t>3</w:t>
      </w:r>
      <w:r>
        <w:rPr>
          <w:b w:val="0"/>
          <w:bCs w:val="0"/>
          <w:i w:val="0"/>
          <w:sz w:val="25"/>
          <w:szCs w:val="25"/>
        </w:rPr>
        <w:t>,5</w:t>
      </w:r>
      <w:r>
        <w:rPr>
          <w:b w:val="0"/>
          <w:bCs w:val="0"/>
          <w:i w:val="0"/>
          <w:sz w:val="25"/>
          <w:szCs w:val="25"/>
        </w:rPr>
        <w:t xml:space="preserve"> ст.18 Феде</w:t>
      </w:r>
      <w:r>
        <w:rPr>
          <w:b w:val="0"/>
          <w:bCs w:val="0"/>
          <w:i w:val="0"/>
          <w:sz w:val="25"/>
          <w:szCs w:val="25"/>
        </w:rPr>
        <w:t xml:space="preserve">рального закона от </w:t>
      </w:r>
      <w:r>
        <w:rPr>
          <w:rStyle w:val="cat-Dategrp-7rplc-12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 №402-ФЗ «О бухгалтерском учете»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>не предоставил</w:t>
      </w:r>
      <w:r>
        <w:rPr>
          <w:b w:val="0"/>
          <w:bCs w:val="0"/>
          <w:i w:val="0"/>
          <w:sz w:val="25"/>
          <w:szCs w:val="25"/>
        </w:rPr>
        <w:t>о</w:t>
      </w:r>
      <w:r>
        <w:rPr>
          <w:b w:val="0"/>
          <w:bCs w:val="0"/>
          <w:i w:val="0"/>
          <w:sz w:val="25"/>
          <w:szCs w:val="25"/>
        </w:rPr>
        <w:t xml:space="preserve"> в налоговый орган </w:t>
      </w:r>
      <w:r>
        <w:rPr>
          <w:b w:val="0"/>
          <w:bCs w:val="0"/>
          <w:i w:val="0"/>
          <w:sz w:val="25"/>
          <w:szCs w:val="25"/>
        </w:rPr>
        <w:t>по месту нахождения организации</w:t>
      </w:r>
      <w:r>
        <w:rPr>
          <w:b w:val="0"/>
          <w:bCs w:val="0"/>
          <w:i w:val="0"/>
          <w:sz w:val="25"/>
          <w:szCs w:val="25"/>
        </w:rPr>
        <w:t xml:space="preserve"> бухгалтерскую (финансовую) отчетность за </w:t>
      </w:r>
      <w:r>
        <w:rPr>
          <w:rStyle w:val="cat-Dategrp-5rplc-13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>,</w:t>
      </w:r>
      <w:r>
        <w:rPr>
          <w:b w:val="0"/>
          <w:bCs w:val="0"/>
          <w:i w:val="0"/>
          <w:sz w:val="25"/>
          <w:szCs w:val="25"/>
        </w:rPr>
        <w:t xml:space="preserve"> чем </w:t>
      </w:r>
      <w:r>
        <w:rPr>
          <w:rStyle w:val="cat-Dategrp-8rplc-14"/>
          <w:b w:val="0"/>
          <w:bCs w:val="0"/>
          <w:i w:val="0"/>
          <w:sz w:val="25"/>
          <w:szCs w:val="25"/>
        </w:rPr>
        <w:t>дата</w:t>
      </w:r>
      <w:r>
        <w:rPr>
          <w:b w:val="0"/>
          <w:bCs w:val="0"/>
          <w:i w:val="0"/>
          <w:sz w:val="25"/>
          <w:szCs w:val="25"/>
        </w:rPr>
        <w:t xml:space="preserve"> </w:t>
      </w:r>
      <w:r>
        <w:rPr>
          <w:b w:val="0"/>
          <w:bCs w:val="0"/>
          <w:i w:val="0"/>
          <w:sz w:val="25"/>
          <w:szCs w:val="25"/>
        </w:rPr>
        <w:t xml:space="preserve">совершило </w:t>
      </w:r>
      <w:r>
        <w:rPr>
          <w:b w:val="0"/>
          <w:bCs w:val="0"/>
          <w:i w:val="0"/>
          <w:sz w:val="25"/>
          <w:szCs w:val="25"/>
        </w:rPr>
        <w:t xml:space="preserve">правонарушение, предусмотренное ст.19.7 КоАП РФ. </w:t>
      </w:r>
    </w:p>
    <w:p>
      <w:pPr>
        <w:pStyle w:val="Heading1"/>
        <w:keepNext w:val="0"/>
        <w:spacing w:before="0" w:after="0"/>
        <w:ind w:firstLine="709"/>
        <w:jc w:val="both"/>
        <w:outlineLvl w:val="9"/>
        <w:rPr>
          <w:b/>
          <w:bCs/>
          <w:sz w:val="25"/>
          <w:szCs w:val="25"/>
        </w:rPr>
      </w:pPr>
      <w:r>
        <w:rPr>
          <w:b w:val="0"/>
          <w:bCs w:val="0"/>
          <w:i w:val="0"/>
          <w:sz w:val="25"/>
          <w:szCs w:val="25"/>
        </w:rPr>
        <w:t xml:space="preserve">Законный представитель </w:t>
      </w:r>
      <w:r>
        <w:rPr>
          <w:rStyle w:val="cat-OrganizationNamegrp-20rplc-15"/>
          <w:b w:val="0"/>
          <w:bCs w:val="0"/>
          <w:i w:val="0"/>
          <w:sz w:val="25"/>
          <w:szCs w:val="25"/>
        </w:rPr>
        <w:t>наименование организации</w:t>
      </w:r>
      <w:r>
        <w:rPr>
          <w:b w:val="0"/>
          <w:bCs w:val="0"/>
          <w:i w:val="0"/>
          <w:sz w:val="25"/>
          <w:szCs w:val="25"/>
        </w:rPr>
        <w:t xml:space="preserve"> в судебное заседание не явился, юридическое лицо </w:t>
      </w:r>
      <w:r>
        <w:rPr>
          <w:b w:val="0"/>
          <w:bCs w:val="0"/>
          <w:i w:val="0"/>
          <w:sz w:val="25"/>
          <w:szCs w:val="25"/>
        </w:rPr>
        <w:t xml:space="preserve">извещалось </w:t>
      </w:r>
      <w:r>
        <w:rPr>
          <w:b w:val="0"/>
          <w:bCs w:val="0"/>
          <w:i w:val="0"/>
          <w:sz w:val="25"/>
          <w:szCs w:val="25"/>
        </w:rPr>
        <w:t xml:space="preserve">о месте и времени судебного заседания посредством </w:t>
      </w:r>
      <w:r>
        <w:rPr>
          <w:b w:val="0"/>
          <w:bCs w:val="0"/>
          <w:i w:val="0"/>
          <w:sz w:val="25"/>
          <w:szCs w:val="25"/>
        </w:rPr>
        <w:t>направления</w:t>
      </w:r>
      <w:r>
        <w:rPr>
          <w:b w:val="0"/>
          <w:bCs w:val="0"/>
          <w:i w:val="0"/>
          <w:sz w:val="25"/>
          <w:szCs w:val="25"/>
        </w:rPr>
        <w:t xml:space="preserve"> судебной повестки, </w:t>
      </w:r>
      <w:r>
        <w:rPr>
          <w:b w:val="0"/>
          <w:bCs w:val="0"/>
          <w:i w:val="0"/>
          <w:sz w:val="25"/>
          <w:szCs w:val="25"/>
        </w:rPr>
        <w:t xml:space="preserve">которая возвращена в суд с отметкой об истечении срока хранения, </w:t>
      </w:r>
      <w:r>
        <w:rPr>
          <w:b w:val="0"/>
          <w:bCs w:val="0"/>
          <w:i w:val="0"/>
          <w:sz w:val="25"/>
          <w:szCs w:val="25"/>
        </w:rPr>
        <w:t>ходатайств об отложении судебного заседания не поступало.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законного </w:t>
      </w:r>
      <w:r>
        <w:rPr>
          <w:rFonts w:ascii="Times New Roman" w:eastAsia="Times New Roman" w:hAnsi="Times New Roman" w:cs="Times New Roman"/>
          <w:sz w:val="25"/>
          <w:szCs w:val="25"/>
        </w:rPr>
        <w:t>представителя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письменные материалы дела, мировой судья пришел к следующему.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Административная ответственность по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наступает за н</w:t>
      </w:r>
      <w:r>
        <w:rPr>
          <w:rFonts w:ascii="Times New Roman" w:eastAsia="Times New Roman" w:hAnsi="Times New Roman" w:cs="Times New Roman"/>
          <w:sz w:val="25"/>
          <w:szCs w:val="25"/>
        </w:rPr>
        <w:t>епредставление или несвоевременное представление в государственный орган (должностному лицу), орган (до</w:t>
      </w:r>
      <w:r>
        <w:rPr>
          <w:rFonts w:ascii="Times New Roman" w:eastAsia="Times New Roman" w:hAnsi="Times New Roman" w:cs="Times New Roman"/>
          <w:sz w:val="25"/>
          <w:szCs w:val="25"/>
        </w:rPr>
        <w:t>лжностному лицу), осуществляющий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организацию, уполномоченную в соответствии 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в искаженном виде.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силу требований постановления Правительства РФ от </w:t>
      </w:r>
      <w:r>
        <w:rPr>
          <w:rStyle w:val="cat-Dategrp-9rplc-16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№506, которым утверждено положение о Федеральной налоговой службе, ф</w:t>
      </w:r>
      <w:r>
        <w:rPr>
          <w:rFonts w:ascii="Times New Roman" w:eastAsia="Times New Roman" w:hAnsi="Times New Roman" w:cs="Times New Roman"/>
          <w:sz w:val="25"/>
          <w:szCs w:val="25"/>
        </w:rPr>
        <w:t>едеральная налоговая служба является федеральным органом исполнительной власти, осуществляющим налоговый контроль.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</w:t>
      </w:r>
      <w:hyperlink r:id="rId4" w:anchor="/document/70103036/entry/1401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п.1 ст.14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Российской Федерации от </w:t>
      </w:r>
      <w:r>
        <w:rPr>
          <w:rStyle w:val="cat-Dategrp-10rplc-17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№402-ФЗ «О бухгалтерском учете» годовая бухгалтерская (финансовая) отчетность состоит из бухгалтерского баланса, отчета о финансовых результатах и приложений к ним.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(финансовой) отчетности в налоговый орган по месту нахождения экономического субъекта, если иное не установлено настоящей статьей (</w:t>
      </w:r>
      <w:hyperlink r:id="rId4" w:anchor="/document/70103036/entry/1803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п.3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Государственный информационный ресурс формируется и ведется федеральным органом исполнительной власти, уполномоченным по контролю и надзору в области налогов и сборов (</w:t>
      </w:r>
      <w:hyperlink r:id="rId4" w:anchor="/document/70103036/entry/18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п.2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налоговый орган по месту нахождения экономического субъекта, в силу прямого указания закона осуществляет также деятельность по формированию и ведению государственного информационного ресурса бухгалтерской (финансовой) отчетности (ГИРБО).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Как следует из п.4 ст.</w:t>
      </w:r>
      <w:r>
        <w:rPr>
          <w:rFonts w:ascii="Times New Roman" w:eastAsia="Times New Roman" w:hAnsi="Times New Roman" w:cs="Times New Roman"/>
          <w:sz w:val="25"/>
          <w:szCs w:val="25"/>
        </w:rPr>
        <w:t>18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бухгалтерском учете </w:t>
      </w:r>
      <w:r>
        <w:rPr>
          <w:rFonts w:ascii="Times New Roman" w:eastAsia="Times New Roman" w:hAnsi="Times New Roman" w:cs="Times New Roman"/>
          <w:sz w:val="25"/>
          <w:szCs w:val="25"/>
        </w:rPr>
        <w:t>от представления обязательного экземпляра отчетности в ГИРБО освобождаются организации бюджетной сферы; Центральный банк Российской Федерации; религиозные организации; организации, представляющие бухгалтерскую (финансовую) отчетность в Центральный банк Российской Федерации; организации, годовая бухгалтерская (финансовая) отчетность которых содержит сведения, отнесенные к государственной тайне в соответствии с законодательством Российской Федерации;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экономические субъекты, составляющие промежуточную бухгалтерскую (финансовую) отчетность в случаях, если обязанность ее представления установлена договорами, учредительными документами экономического субъекта, решениями собственника экономического субъекта (в отношении обязательного экземпляра промежуточной бухгалтерской (финансовой) отчетности).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Следовательно, </w:t>
      </w:r>
      <w:r>
        <w:rPr>
          <w:rStyle w:val="cat-OrganizationNamegrp-20rplc-18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является организацией, которая обязана размещать свою бухгалтерскую (финансовую) отчетность в ГИРБО, а потому положение </w:t>
      </w:r>
      <w:r>
        <w:rPr>
          <w:rFonts w:ascii="Times New Roman" w:eastAsia="Times New Roman" w:hAnsi="Times New Roman" w:cs="Times New Roman"/>
          <w:sz w:val="25"/>
          <w:szCs w:val="25"/>
        </w:rPr>
        <w:t>подп.5.1 п.1 ст.23 НК РФ</w:t>
      </w:r>
      <w:r>
        <w:rPr>
          <w:rFonts w:ascii="Times New Roman" w:eastAsia="Times New Roman" w:hAnsi="Times New Roman" w:cs="Times New Roman"/>
          <w:sz w:val="25"/>
          <w:szCs w:val="25"/>
        </w:rPr>
        <w:t>, обязывающее представлять в налоговый орган по месту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нахождения организации годовую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бухгалтерскую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(финансовую)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только те организации, у которых отсутствует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обязанность представлять такую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отчетность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госуда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рственный информационный ресурс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отчетности, на данную организацию не распространяется.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Закона о бухгалтерском учете обязательный экземпляр отчетности представляется экономическим субъектом в виде электронного документа не позднее трех месяцев после окончания отчетного периода.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ч.1 ст.15 данного закона отчетным периодом для годовой бухгалтерской (финансовой) отчетности (отчетным годом) является календарный год - с </w:t>
      </w:r>
      <w:r>
        <w:rPr>
          <w:rStyle w:val="cat-Dategrp-11rplc-19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</w:t>
      </w:r>
      <w:r>
        <w:rPr>
          <w:rStyle w:val="cat-Dategrp-12rplc-20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включительно.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 материалов дела об административном правонарушении следует, что </w:t>
      </w:r>
      <w:r>
        <w:rPr>
          <w:rStyle w:val="cat-OrganizationNamegrp-20rplc-21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>, осуществляюще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свою деятельность по адресу: </w:t>
      </w:r>
      <w:r>
        <w:rPr>
          <w:rStyle w:val="cat-Addressgrp-3rplc-22"/>
          <w:rFonts w:ascii="Times New Roman" w:eastAsia="Times New Roman" w:hAnsi="Times New Roman" w:cs="Times New Roman"/>
          <w:sz w:val="25"/>
          <w:szCs w:val="25"/>
        </w:rPr>
        <w:t>адрес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тракт д.2 помещ.1</w:t>
      </w:r>
      <w:r>
        <w:rPr>
          <w:rFonts w:ascii="Times New Roman" w:eastAsia="Times New Roman" w:hAnsi="Times New Roman" w:cs="Times New Roman"/>
          <w:sz w:val="25"/>
          <w:szCs w:val="25"/>
        </w:rPr>
        <w:t>, не представил</w:t>
      </w:r>
      <w:r>
        <w:rPr>
          <w:rFonts w:ascii="Times New Roman" w:eastAsia="Times New Roman" w:hAnsi="Times New Roman" w:cs="Times New Roman"/>
          <w:sz w:val="25"/>
          <w:szCs w:val="25"/>
        </w:rPr>
        <w:t>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налоговый орган в срок не позднее </w:t>
      </w:r>
      <w:r>
        <w:rPr>
          <w:rStyle w:val="cat-Dategrp-6rplc-23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годовую бухгалтерскую (финансовую) отчетность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 </w:t>
      </w:r>
      <w:r>
        <w:rPr>
          <w:rStyle w:val="cat-Dategrp-13rplc-24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электронном виде для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размещения в Государственной информационном ресурсе бухгалтерской отчетности, предоставление которой предусмотрено </w:t>
      </w:r>
      <w:hyperlink r:id="rId4" w:anchor="/document/70103036/entry/1805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п.5 ст.18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Федерального закона от </w:t>
      </w:r>
      <w:r>
        <w:rPr>
          <w:rStyle w:val="cat-Dategrp-14rplc-25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№402-ФЗ.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Фактические обстоятельства дела подтверждаются собра</w:t>
      </w:r>
      <w:r>
        <w:rPr>
          <w:rFonts w:ascii="Times New Roman" w:eastAsia="Times New Roman" w:hAnsi="Times New Roman" w:cs="Times New Roman"/>
          <w:sz w:val="25"/>
          <w:szCs w:val="25"/>
        </w:rPr>
        <w:t>нными по делу доказательствами: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№</w:t>
      </w:r>
      <w:r>
        <w:rPr>
          <w:rFonts w:ascii="Times New Roman" w:eastAsia="Times New Roman" w:hAnsi="Times New Roman" w:cs="Times New Roman"/>
          <w:sz w:val="25"/>
          <w:szCs w:val="25"/>
        </w:rPr>
        <w:t>860026</w:t>
      </w:r>
      <w:r>
        <w:rPr>
          <w:rFonts w:ascii="Times New Roman" w:eastAsia="Times New Roman" w:hAnsi="Times New Roman" w:cs="Times New Roman"/>
          <w:sz w:val="25"/>
          <w:szCs w:val="25"/>
        </w:rPr>
        <w:t>13800780500001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Style w:val="cat-Dategrp-15rplc-26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копией выписки из ЕГРН в отношении </w:t>
      </w:r>
      <w:r>
        <w:rPr>
          <w:rStyle w:val="cat-OrganizationNamegrp-20rplc-27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  <w:r>
        <w:rPr>
          <w:rFonts w:ascii="Times New Roman" w:eastAsia="Times New Roman" w:hAnsi="Times New Roman" w:cs="Times New Roman"/>
          <w:sz w:val="25"/>
          <w:szCs w:val="25"/>
        </w:rPr>
        <w:t>квитанцией о приеме налоговой декларации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Dategrp-16rplc-28"/>
          <w:rFonts w:ascii="Times New Roman" w:eastAsia="Times New Roman" w:hAnsi="Times New Roman" w:cs="Times New Roman"/>
          <w:sz w:val="25"/>
          <w:szCs w:val="25"/>
        </w:rPr>
        <w:t>дата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Изложенное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выше </w:t>
      </w:r>
      <w:r>
        <w:rPr>
          <w:rFonts w:ascii="Times New Roman" w:eastAsia="Times New Roman" w:hAnsi="Times New Roman" w:cs="Times New Roman"/>
          <w:sz w:val="25"/>
          <w:szCs w:val="25"/>
        </w:rPr>
        <w:t>позволяет прийти к выводу о том, что непредставление или несвоевременное представление в налоговый орган по месту нахождения экономического субъекта сведений (информации), пред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ставление которых предусмотрено </w:t>
      </w:r>
      <w:r>
        <w:rPr>
          <w:rFonts w:ascii="Times New Roman" w:eastAsia="Times New Roman" w:hAnsi="Times New Roman" w:cs="Times New Roman"/>
          <w:sz w:val="25"/>
          <w:szCs w:val="25"/>
        </w:rPr>
        <w:t>законом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и необходимо для осуществления этим органом его законной деятельности, в данном случае налогового органа, по формированию и ведению государст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венного информационного ресурса </w:t>
      </w:r>
      <w:r>
        <w:rPr>
          <w:rFonts w:ascii="Times New Roman" w:eastAsia="Times New Roman" w:hAnsi="Times New Roman" w:cs="Times New Roman"/>
          <w:sz w:val="25"/>
          <w:szCs w:val="25"/>
        </w:rPr>
        <w:t>бухгалтерской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(финансовой) </w:t>
      </w:r>
      <w:r>
        <w:rPr>
          <w:rFonts w:ascii="Times New Roman" w:eastAsia="Times New Roman" w:hAnsi="Times New Roman" w:cs="Times New Roman"/>
          <w:sz w:val="25"/>
          <w:szCs w:val="25"/>
        </w:rPr>
        <w:t>отчетности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охватывается составом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предусмотренного </w:t>
      </w:r>
      <w:hyperlink r:id="rId4" w:anchor="/document/12125267/entry/197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статьей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 xml:space="preserve"> </w:t>
        </w:r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19.7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</w:t>
      </w:r>
      <w:hyperlink r:id="rId5" w:anchor="/document/12125267/entry/2102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ч.2 ст.2.1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КоАП РФ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</w:t>
      </w:r>
      <w:hyperlink r:id="rId5" w:anchor="/document/12125267/entry/0" w:history="1">
        <w:r>
          <w:rPr>
            <w:rFonts w:ascii="Times New Roman" w:eastAsia="Times New Roman" w:hAnsi="Times New Roman" w:cs="Times New Roman"/>
            <w:color w:val="0000EE"/>
            <w:sz w:val="25"/>
            <w:szCs w:val="25"/>
          </w:rPr>
          <w:t>настоящим Кодексом</w:t>
        </w:r>
      </w:hyperlink>
      <w:r>
        <w:rPr>
          <w:rFonts w:ascii="Times New Roman" w:eastAsia="Times New Roman" w:hAnsi="Times New Roman" w:cs="Times New Roman"/>
          <w:sz w:val="25"/>
          <w:szCs w:val="25"/>
        </w:rPr>
        <w:t xml:space="preserve">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Оценив представленные доказательства в их совокупности, суд считает установленным, что в рассматриваемом случае юридическим лицом не были приняты все зависящие от него меры к исполнению законодательства </w:t>
      </w:r>
      <w:r>
        <w:rPr>
          <w:rFonts w:ascii="Times New Roman" w:eastAsia="Times New Roman" w:hAnsi="Times New Roman" w:cs="Times New Roman"/>
          <w:sz w:val="25"/>
          <w:szCs w:val="25"/>
        </w:rPr>
        <w:t>о бухгалтерском учете.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Style w:val="cat-OrganizationNamegrp-20rplc-29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квалифицирует по ст.19.7 КоАП РФ - </w:t>
      </w:r>
      <w:r>
        <w:rPr>
          <w:rFonts w:ascii="Times New Roman" w:eastAsia="Times New Roman" w:hAnsi="Times New Roman" w:cs="Times New Roman"/>
          <w:sz w:val="25"/>
          <w:szCs w:val="25"/>
        </w:rPr>
        <w:t>несвоевременное представление в государственный орган, осуществляющему государственный контроль, сведений, представление которых предусмотрено законом и необходимо для осуществления этим органом его законной деятельности.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Определяя вид и меру наказания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юридическому </w:t>
      </w:r>
      <w:r>
        <w:rPr>
          <w:rFonts w:ascii="Times New Roman" w:eastAsia="Times New Roman" w:hAnsi="Times New Roman" w:cs="Times New Roman"/>
          <w:sz w:val="25"/>
          <w:szCs w:val="25"/>
        </w:rPr>
        <w:t>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правонарушения, имущественное и финансовое положение юридического лица.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Правонарушение совершено против порядка управления, сведений о привлечении юридического лица к административной ответственности не представлено.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Смягчающим административную ответственность обстоятельством является добровольное прекращение противоправного поведения,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отягчающих административную ответственность обстоятельств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</w:t>
      </w:r>
      <w:r>
        <w:rPr>
          <w:rFonts w:ascii="Times New Roman" w:eastAsia="Times New Roman" w:hAnsi="Times New Roman" w:cs="Times New Roman"/>
          <w:sz w:val="25"/>
          <w:szCs w:val="25"/>
        </w:rPr>
        <w:t>уководствуясь ст.</w:t>
      </w:r>
      <w:r>
        <w:rPr>
          <w:rFonts w:ascii="Times New Roman" w:eastAsia="Times New Roman" w:hAnsi="Times New Roman" w:cs="Times New Roman"/>
          <w:sz w:val="25"/>
          <w:szCs w:val="25"/>
        </w:rPr>
        <w:t>ст.23.1, 29.10 КоАП РФ, мировой судья,</w:t>
      </w: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 о с </w:t>
      </w:r>
      <w:r>
        <w:rPr>
          <w:rFonts w:ascii="Times New Roman" w:eastAsia="Times New Roman" w:hAnsi="Times New Roman" w:cs="Times New Roman"/>
          <w:sz w:val="25"/>
          <w:szCs w:val="25"/>
        </w:rPr>
        <w:t>т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 н о в и л:</w:t>
      </w:r>
    </w:p>
    <w:p>
      <w:pPr>
        <w:spacing w:before="0" w:after="0"/>
        <w:ind w:firstLine="708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юридическое лицо </w:t>
      </w:r>
      <w:r>
        <w:rPr>
          <w:rStyle w:val="cat-OrganizationNamegrp-20rplc-30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виновным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совершении административного правонарушения, предусмотренного ст.19.7 </w:t>
      </w:r>
      <w:r>
        <w:rPr>
          <w:rFonts w:ascii="Times New Roman" w:eastAsia="Times New Roman" w:hAnsi="Times New Roman" w:cs="Times New Roman"/>
          <w:sz w:val="25"/>
          <w:szCs w:val="25"/>
        </w:rPr>
        <w:t>КоАП РФ, и назначить ему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наказание в виде </w:t>
      </w:r>
      <w:r>
        <w:rPr>
          <w:rFonts w:ascii="Times New Roman" w:eastAsia="Times New Roman" w:hAnsi="Times New Roman" w:cs="Times New Roman"/>
          <w:sz w:val="25"/>
          <w:szCs w:val="25"/>
        </w:rPr>
        <w:t>ПРЕДУПРЕЖДЕНИЯ.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через </w:t>
      </w:r>
      <w:r>
        <w:rPr>
          <w:rFonts w:ascii="Times New Roman" w:eastAsia="Times New Roman" w:hAnsi="Times New Roman" w:cs="Times New Roman"/>
          <w:sz w:val="25"/>
          <w:szCs w:val="25"/>
        </w:rPr>
        <w:t>мирового судью в течение 10 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постановления.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Style w:val="cat-FIOgrp-19rplc-31"/>
          <w:rFonts w:ascii="Times New Roman" w:eastAsia="Times New Roman" w:hAnsi="Times New Roman" w:cs="Times New Roman"/>
          <w:sz w:val="25"/>
          <w:szCs w:val="25"/>
        </w:rPr>
        <w:t>фио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Копия верна:</w:t>
      </w:r>
    </w:p>
    <w:p>
      <w:pPr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Style w:val="cat-FIOgrp-19rplc-32"/>
          <w:rFonts w:ascii="Times New Roman" w:eastAsia="Times New Roman" w:hAnsi="Times New Roman" w:cs="Times New Roman"/>
          <w:sz w:val="25"/>
          <w:szCs w:val="25"/>
        </w:rPr>
        <w:t>фио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17rplc-3">
    <w:name w:val="cat-FIO grp-17 rplc-3"/>
    <w:basedOn w:val="DefaultParagraphFont"/>
  </w:style>
  <w:style w:type="character" w:customStyle="1" w:styleId="cat-OrganizationNamegrp-20rplc-4">
    <w:name w:val="cat-OrganizationName grp-20 rplc-4"/>
    <w:basedOn w:val="DefaultParagraphFont"/>
  </w:style>
  <w:style w:type="character" w:customStyle="1" w:styleId="cat-PhoneNumbergrp-22rplc-5">
    <w:name w:val="cat-PhoneNumber grp-22 rplc-5"/>
    <w:basedOn w:val="DefaultParagraphFont"/>
  </w:style>
  <w:style w:type="character" w:customStyle="1" w:styleId="cat-Addressgrp-2rplc-6">
    <w:name w:val="cat-Address grp-2 rplc-6"/>
    <w:basedOn w:val="DefaultParagraphFont"/>
  </w:style>
  <w:style w:type="character" w:customStyle="1" w:styleId="cat-FIOgrp-18rplc-7">
    <w:name w:val="cat-FIO grp-18 rplc-7"/>
    <w:basedOn w:val="DefaultParagraphFont"/>
  </w:style>
  <w:style w:type="character" w:customStyle="1" w:styleId="cat-OrganizationNamegrp-20rplc-8">
    <w:name w:val="cat-OrganizationName grp-20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Timegrp-21rplc-10">
    <w:name w:val="cat-Time grp-21 rplc-10"/>
    <w:basedOn w:val="DefaultParagraphFont"/>
  </w:style>
  <w:style w:type="character" w:customStyle="1" w:styleId="cat-Dategrp-6rplc-11">
    <w:name w:val="cat-Date grp-6 rplc-11"/>
    <w:basedOn w:val="DefaultParagraphFont"/>
  </w:style>
  <w:style w:type="character" w:customStyle="1" w:styleId="cat-Dategrp-7rplc-12">
    <w:name w:val="cat-Date grp-7 rplc-12"/>
    <w:basedOn w:val="DefaultParagraphFont"/>
  </w:style>
  <w:style w:type="character" w:customStyle="1" w:styleId="cat-Dategrp-5rplc-13">
    <w:name w:val="cat-Date grp-5 rplc-13"/>
    <w:basedOn w:val="DefaultParagraphFont"/>
  </w:style>
  <w:style w:type="character" w:customStyle="1" w:styleId="cat-Dategrp-8rplc-14">
    <w:name w:val="cat-Date grp-8 rplc-14"/>
    <w:basedOn w:val="DefaultParagraphFont"/>
  </w:style>
  <w:style w:type="character" w:customStyle="1" w:styleId="cat-OrganizationNamegrp-20rplc-15">
    <w:name w:val="cat-OrganizationName grp-20 rplc-15"/>
    <w:basedOn w:val="DefaultParagraphFont"/>
  </w:style>
  <w:style w:type="character" w:customStyle="1" w:styleId="cat-Dategrp-9rplc-16">
    <w:name w:val="cat-Date grp-9 rplc-16"/>
    <w:basedOn w:val="DefaultParagraphFont"/>
  </w:style>
  <w:style w:type="character" w:customStyle="1" w:styleId="cat-Dategrp-10rplc-17">
    <w:name w:val="cat-Date grp-10 rplc-17"/>
    <w:basedOn w:val="DefaultParagraphFont"/>
  </w:style>
  <w:style w:type="character" w:customStyle="1" w:styleId="cat-OrganizationNamegrp-20rplc-18">
    <w:name w:val="cat-OrganizationName grp-20 rplc-18"/>
    <w:basedOn w:val="DefaultParagraphFont"/>
  </w:style>
  <w:style w:type="character" w:customStyle="1" w:styleId="cat-Dategrp-11rplc-19">
    <w:name w:val="cat-Date grp-11 rplc-19"/>
    <w:basedOn w:val="DefaultParagraphFont"/>
  </w:style>
  <w:style w:type="character" w:customStyle="1" w:styleId="cat-Dategrp-12rplc-20">
    <w:name w:val="cat-Date grp-12 rplc-20"/>
    <w:basedOn w:val="DefaultParagraphFont"/>
  </w:style>
  <w:style w:type="character" w:customStyle="1" w:styleId="cat-OrganizationNamegrp-20rplc-21">
    <w:name w:val="cat-OrganizationName grp-20 rplc-21"/>
    <w:basedOn w:val="DefaultParagraphFont"/>
  </w:style>
  <w:style w:type="character" w:customStyle="1" w:styleId="cat-Addressgrp-3rplc-22">
    <w:name w:val="cat-Address grp-3 rplc-22"/>
    <w:basedOn w:val="DefaultParagraphFont"/>
  </w:style>
  <w:style w:type="character" w:customStyle="1" w:styleId="cat-Dategrp-6rplc-23">
    <w:name w:val="cat-Date grp-6 rplc-23"/>
    <w:basedOn w:val="DefaultParagraphFont"/>
  </w:style>
  <w:style w:type="character" w:customStyle="1" w:styleId="cat-Dategrp-13rplc-24">
    <w:name w:val="cat-Date grp-13 rplc-24"/>
    <w:basedOn w:val="DefaultParagraphFont"/>
  </w:style>
  <w:style w:type="character" w:customStyle="1" w:styleId="cat-Dategrp-14rplc-25">
    <w:name w:val="cat-Date grp-14 rplc-25"/>
    <w:basedOn w:val="DefaultParagraphFont"/>
  </w:style>
  <w:style w:type="character" w:customStyle="1" w:styleId="cat-Dategrp-15rplc-26">
    <w:name w:val="cat-Date grp-15 rplc-26"/>
    <w:basedOn w:val="DefaultParagraphFont"/>
  </w:style>
  <w:style w:type="character" w:customStyle="1" w:styleId="cat-OrganizationNamegrp-20rplc-27">
    <w:name w:val="cat-OrganizationName grp-20 rplc-27"/>
    <w:basedOn w:val="DefaultParagraphFont"/>
  </w:style>
  <w:style w:type="character" w:customStyle="1" w:styleId="cat-Dategrp-16rplc-28">
    <w:name w:val="cat-Date grp-16 rplc-28"/>
    <w:basedOn w:val="DefaultParagraphFont"/>
  </w:style>
  <w:style w:type="character" w:customStyle="1" w:styleId="cat-OrganizationNamegrp-20rplc-29">
    <w:name w:val="cat-OrganizationName grp-20 rplc-29"/>
    <w:basedOn w:val="DefaultParagraphFont"/>
  </w:style>
  <w:style w:type="character" w:customStyle="1" w:styleId="cat-OrganizationNamegrp-20rplc-30">
    <w:name w:val="cat-OrganizationName grp-20 rplc-30"/>
    <w:basedOn w:val="DefaultParagraphFont"/>
  </w:style>
  <w:style w:type="character" w:customStyle="1" w:styleId="cat-FIOgrp-19rplc-31">
    <w:name w:val="cat-FIO grp-19 rplc-31"/>
    <w:basedOn w:val="DefaultParagraphFont"/>
  </w:style>
  <w:style w:type="character" w:customStyle="1" w:styleId="cat-FIOgrp-19rplc-32">
    <w:name w:val="cat-FIO grp-19 rplc-3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arbitr.garant.ru/" TargetMode="External" /><Relationship Id="rId5" Type="http://schemas.openxmlformats.org/officeDocument/2006/relationships/hyperlink" Target="http://arbitr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